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62684D" w14:textId="77777777" w:rsidR="003A7D4F" w:rsidRDefault="003A7D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63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61"/>
        <w:gridCol w:w="2309"/>
        <w:gridCol w:w="2204"/>
        <w:gridCol w:w="1470"/>
        <w:gridCol w:w="390"/>
        <w:gridCol w:w="3101"/>
      </w:tblGrid>
      <w:tr w:rsidR="003A7D4F" w14:paraId="596E3879" w14:textId="77777777">
        <w:trPr>
          <w:trHeight w:val="819"/>
        </w:trPr>
        <w:tc>
          <w:tcPr>
            <w:tcW w:w="4674" w:type="dxa"/>
            <w:gridSpan w:val="3"/>
            <w:shd w:val="clear" w:color="auto" w:fill="auto"/>
          </w:tcPr>
          <w:p w14:paraId="514838B3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  <w:r>
              <w:rPr>
                <w:rFonts w:ascii="FreeSerif" w:eastAsia="FreeSerif" w:hAnsi="FreeSerif" w:cs="FreeSerif"/>
                <w:noProof/>
                <w:color w:val="666666"/>
                <w:sz w:val="18"/>
                <w:szCs w:val="18"/>
              </w:rPr>
              <w:drawing>
                <wp:inline distT="0" distB="0" distL="0" distR="0" wp14:anchorId="2EDE8717" wp14:editId="29F14BA8">
                  <wp:extent cx="2898775" cy="1009015"/>
                  <wp:effectExtent l="0" t="0" r="0" b="0"/>
                  <wp:docPr id="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-176" t="-504" r="-177" b="-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1009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gridSpan w:val="2"/>
            <w:shd w:val="clear" w:color="auto" w:fill="auto"/>
          </w:tcPr>
          <w:p w14:paraId="5AB405FD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Liberation Sans Narrow" w:eastAsia="Liberation Sans Narrow" w:hAnsi="Liberation Sans Narrow" w:cs="Liberation Sans Narrow"/>
                <w:color w:val="000000"/>
                <w:sz w:val="18"/>
                <w:szCs w:val="18"/>
              </w:rPr>
            </w:pPr>
          </w:p>
        </w:tc>
        <w:tc>
          <w:tcPr>
            <w:tcW w:w="3101" w:type="dxa"/>
            <w:shd w:val="clear" w:color="auto" w:fill="auto"/>
          </w:tcPr>
          <w:p w14:paraId="4756A861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28F03EC1" wp14:editId="23A439F9">
                  <wp:extent cx="551815" cy="586740"/>
                  <wp:effectExtent l="0" t="0" r="0" b="0"/>
                  <wp:docPr id="2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l="-281" t="-255" r="-276" b="-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5867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867989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mallCaps/>
                <w:color w:val="666666"/>
                <w:sz w:val="10"/>
                <w:szCs w:val="10"/>
              </w:rPr>
            </w:pPr>
          </w:p>
          <w:p w14:paraId="5BF176FA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  <w:r>
              <w:rPr>
                <w:rFonts w:ascii="FreeSerif" w:eastAsia="FreeSerif" w:hAnsi="FreeSerif" w:cs="FreeSerif"/>
                <w:smallCaps/>
                <w:noProof/>
                <w:color w:val="666666"/>
                <w:sz w:val="18"/>
                <w:szCs w:val="18"/>
              </w:rPr>
              <w:drawing>
                <wp:inline distT="0" distB="0" distL="0" distR="0" wp14:anchorId="6E50C059" wp14:editId="2AF00DB2">
                  <wp:extent cx="1527175" cy="370840"/>
                  <wp:effectExtent l="0" t="0" r="0" b="0"/>
                  <wp:docPr id="2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 l="-67" t="-281" r="-65" b="-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75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7D4F" w14:paraId="3B203777" w14:textId="77777777">
        <w:tc>
          <w:tcPr>
            <w:tcW w:w="161" w:type="dxa"/>
            <w:shd w:val="clear" w:color="auto" w:fill="auto"/>
          </w:tcPr>
          <w:p w14:paraId="74796A1F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9474" w:type="dxa"/>
            <w:gridSpan w:val="5"/>
            <w:shd w:val="clear" w:color="auto" w:fill="auto"/>
          </w:tcPr>
          <w:p w14:paraId="70E9243D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Arial" w:eastAsia="Arial" w:hAnsi="Arial" w:cs="Arial"/>
                <w:i/>
                <w:color w:val="666666"/>
                <w:sz w:val="16"/>
                <w:szCs w:val="16"/>
              </w:rPr>
              <w:t>agraria agroalimentare agroindustria | chimica, materiali e biotecnologie | costruzioni, ambiente e territorio | sistema moda | servizi per la sanità e l'assistenza sociale | corso operatore del benessere | agenzia formativa Regione Toscana  IS0059 – ISO9001</w:t>
            </w:r>
          </w:p>
        </w:tc>
      </w:tr>
      <w:tr w:rsidR="003A7D4F" w14:paraId="51A02398" w14:textId="77777777">
        <w:tc>
          <w:tcPr>
            <w:tcW w:w="161" w:type="dxa"/>
            <w:shd w:val="clear" w:color="auto" w:fill="auto"/>
          </w:tcPr>
          <w:p w14:paraId="5DFC9B15" w14:textId="77777777" w:rsidR="003A7D4F" w:rsidRDefault="003A7D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iberation Sans Narrow" w:eastAsia="Liberation Sans Narrow" w:hAnsi="Liberation Sans Narrow" w:cs="Liberation Sans Narrow"/>
                <w:color w:val="000000"/>
                <w:sz w:val="16"/>
                <w:szCs w:val="16"/>
              </w:rPr>
            </w:pPr>
          </w:p>
        </w:tc>
        <w:tc>
          <w:tcPr>
            <w:tcW w:w="2309" w:type="dxa"/>
            <w:tcBorders>
              <w:bottom w:val="single" w:sz="8" w:space="0" w:color="3333FF"/>
            </w:tcBorders>
            <w:shd w:val="clear" w:color="auto" w:fill="auto"/>
          </w:tcPr>
          <w:p w14:paraId="3ED66014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www.e-santoni.edu.it</w:t>
            </w:r>
          </w:p>
        </w:tc>
        <w:tc>
          <w:tcPr>
            <w:tcW w:w="3674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4130A4E0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e-mail: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piis003007@istruzione.it</w:t>
            </w:r>
          </w:p>
        </w:tc>
        <w:tc>
          <w:tcPr>
            <w:tcW w:w="3491" w:type="dxa"/>
            <w:gridSpan w:val="2"/>
            <w:tcBorders>
              <w:bottom w:val="single" w:sz="8" w:space="0" w:color="3333FF"/>
            </w:tcBorders>
            <w:shd w:val="clear" w:color="auto" w:fill="auto"/>
          </w:tcPr>
          <w:p w14:paraId="0231F567" w14:textId="77777777" w:rsidR="003A7D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18"/>
                <w:szCs w:val="18"/>
              </w:rPr>
              <w:t xml:space="preserve">PEC: </w:t>
            </w:r>
            <w:r>
              <w:rPr>
                <w:rFonts w:ascii="Calibri" w:eastAsia="Calibri" w:hAnsi="Calibri"/>
                <w:b/>
                <w:color w:val="000000"/>
                <w:sz w:val="18"/>
                <w:szCs w:val="18"/>
              </w:rPr>
              <w:t>piis003007@pec.istruzione.it</w:t>
            </w:r>
          </w:p>
        </w:tc>
      </w:tr>
    </w:tbl>
    <w:p w14:paraId="07825A63" w14:textId="77777777" w:rsidR="003A7D4F" w:rsidRDefault="003A7D4F"/>
    <w:p w14:paraId="2ED23C1E" w14:textId="575F09FD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Calibri" w:eastAsia="Calibri" w:hAnsi="Calibri"/>
          <w:b/>
          <w:color w:val="000000"/>
          <w:sz w:val="28"/>
          <w:szCs w:val="28"/>
        </w:rPr>
      </w:pPr>
      <w:bookmarkStart w:id="0" w:name="_heading=h.gjdgxs" w:colFirst="0" w:colLast="0"/>
      <w:bookmarkEnd w:id="0"/>
      <w:r>
        <w:rPr>
          <w:rFonts w:ascii="Calibri" w:eastAsia="Calibri" w:hAnsi="Calibri"/>
          <w:b/>
          <w:color w:val="000000"/>
          <w:sz w:val="28"/>
          <w:szCs w:val="28"/>
        </w:rPr>
        <w:t>PIANO DI LAVORO PUBBLICO ANNUALE DEL DOCENTE A.S. 20</w:t>
      </w:r>
      <w:r>
        <w:rPr>
          <w:rFonts w:ascii="Calibri" w:eastAsia="Calibri" w:hAnsi="Calibri"/>
          <w:b/>
          <w:sz w:val="28"/>
          <w:szCs w:val="28"/>
        </w:rPr>
        <w:t>2</w:t>
      </w:r>
      <w:r w:rsidR="00282867">
        <w:rPr>
          <w:rFonts w:ascii="Calibri" w:eastAsia="Calibri" w:hAnsi="Calibri"/>
          <w:b/>
          <w:sz w:val="28"/>
          <w:szCs w:val="28"/>
        </w:rPr>
        <w:t>4</w:t>
      </w:r>
      <w:r>
        <w:rPr>
          <w:rFonts w:ascii="Calibri" w:eastAsia="Calibri" w:hAnsi="Calibri"/>
          <w:b/>
          <w:color w:val="000000"/>
          <w:sz w:val="28"/>
          <w:szCs w:val="28"/>
        </w:rPr>
        <w:t>/2</w:t>
      </w:r>
      <w:r w:rsidR="00282867">
        <w:rPr>
          <w:rFonts w:ascii="Calibri" w:eastAsia="Calibri" w:hAnsi="Calibri"/>
          <w:b/>
          <w:sz w:val="28"/>
          <w:szCs w:val="28"/>
        </w:rPr>
        <w:t>5</w:t>
      </w:r>
    </w:p>
    <w:p w14:paraId="52590E8F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D905E9D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b/>
          <w:sz w:val="24"/>
          <w:szCs w:val="24"/>
        </w:rPr>
      </w:pPr>
      <w:bookmarkStart w:id="1" w:name="_heading=h.4muz54wz7ni7" w:colFirst="0" w:colLast="0"/>
      <w:bookmarkEnd w:id="1"/>
    </w:p>
    <w:p w14:paraId="668A7EA1" w14:textId="3555DD81" w:rsidR="003A7D4F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2" w:name="_heading=h.1i4gvvmky6lf" w:colFirst="0" w:colLast="0"/>
      <w:bookmarkEnd w:id="2"/>
      <w:r>
        <w:rPr>
          <w:rFonts w:ascii="Calibri" w:eastAsia="Calibri" w:hAnsi="Calibri"/>
          <w:b/>
          <w:sz w:val="24"/>
          <w:szCs w:val="24"/>
        </w:rPr>
        <w:t>Nome e cognome del/della docente</w:t>
      </w:r>
      <w:r>
        <w:rPr>
          <w:rFonts w:ascii="Calibri" w:eastAsia="Calibri" w:hAnsi="Calibri"/>
          <w:sz w:val="24"/>
          <w:szCs w:val="24"/>
        </w:rPr>
        <w:t>: A</w:t>
      </w:r>
      <w:r w:rsidR="00DA26EF">
        <w:rPr>
          <w:rFonts w:ascii="Calibri" w:eastAsia="Calibri" w:hAnsi="Calibri"/>
          <w:sz w:val="24"/>
          <w:szCs w:val="24"/>
        </w:rPr>
        <w:t xml:space="preserve">gnese </w:t>
      </w:r>
      <w:r>
        <w:rPr>
          <w:rFonts w:ascii="Calibri" w:eastAsia="Calibri" w:hAnsi="Calibri"/>
          <w:sz w:val="24"/>
          <w:szCs w:val="24"/>
        </w:rPr>
        <w:t>M</w:t>
      </w:r>
      <w:r w:rsidR="00DA26EF">
        <w:rPr>
          <w:rFonts w:ascii="Calibri" w:eastAsia="Calibri" w:hAnsi="Calibri"/>
          <w:sz w:val="24"/>
          <w:szCs w:val="24"/>
        </w:rPr>
        <w:t>uscarello</w:t>
      </w:r>
    </w:p>
    <w:p w14:paraId="6A28DF45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3" w:name="_heading=h.jrsf0v17y9up" w:colFirst="0" w:colLast="0"/>
      <w:bookmarkEnd w:id="3"/>
    </w:p>
    <w:p w14:paraId="3D0A52C7" w14:textId="77777777" w:rsidR="003A7D4F" w:rsidRDefault="00000000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4" w:name="_heading=h.l4ln8tk5f5mi" w:colFirst="0" w:colLast="0"/>
      <w:bookmarkEnd w:id="4"/>
      <w:r>
        <w:rPr>
          <w:rFonts w:ascii="Calibri" w:eastAsia="Calibri" w:hAnsi="Calibri"/>
          <w:b/>
          <w:sz w:val="24"/>
          <w:szCs w:val="24"/>
        </w:rPr>
        <w:t>Disciplina insegnata</w:t>
      </w:r>
      <w:r>
        <w:rPr>
          <w:rFonts w:ascii="Calibri" w:eastAsia="Calibri" w:hAnsi="Calibri"/>
          <w:sz w:val="24"/>
          <w:szCs w:val="24"/>
        </w:rPr>
        <w:t>: Igiene e cultura medico sanitaria</w:t>
      </w:r>
    </w:p>
    <w:p w14:paraId="501667AC" w14:textId="77777777" w:rsidR="003A7D4F" w:rsidRDefault="003A7D4F">
      <w:pPr>
        <w:tabs>
          <w:tab w:val="center" w:pos="4819"/>
          <w:tab w:val="right" w:pos="9638"/>
        </w:tabs>
        <w:jc w:val="both"/>
        <w:rPr>
          <w:rFonts w:ascii="Calibri" w:eastAsia="Calibri" w:hAnsi="Calibri"/>
          <w:sz w:val="24"/>
          <w:szCs w:val="24"/>
        </w:rPr>
      </w:pPr>
      <w:bookmarkStart w:id="5" w:name="_heading=h.kz53r8dcjmbb" w:colFirst="0" w:colLast="0"/>
      <w:bookmarkEnd w:id="5"/>
    </w:p>
    <w:p w14:paraId="069400FD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Libro/i di testo in uso: Igiene e cultura medico-sanitaria B (Antonella Bedendo Ed. Ed.Poseidonia scuola)</w:t>
      </w:r>
    </w:p>
    <w:p w14:paraId="76F692AB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i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Libro consigliato: Igiene e cultura medico-sanitaria/ Igiene, disabilità e riabilitazione (S. Barbone- M.R. Castiello / Ed. Franco Lucisano)</w:t>
      </w:r>
    </w:p>
    <w:p w14:paraId="6C65A321" w14:textId="77777777" w:rsidR="003A7D4F" w:rsidRDefault="003A7D4F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</w:p>
    <w:p w14:paraId="12301051" w14:textId="24B5B304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Classe e Sezione 4</w:t>
      </w:r>
      <w:r w:rsidR="00DA26EF">
        <w:rPr>
          <w:rFonts w:ascii="Calibri" w:eastAsia="Calibri" w:hAnsi="Calibri"/>
          <w:b/>
          <w:sz w:val="24"/>
          <w:szCs w:val="24"/>
        </w:rPr>
        <w:t>K</w:t>
      </w:r>
    </w:p>
    <w:p w14:paraId="58EEB97C" w14:textId="77777777" w:rsidR="003A7D4F" w:rsidRDefault="003A7D4F">
      <w:pPr>
        <w:keepNext/>
        <w:tabs>
          <w:tab w:val="left" w:pos="708"/>
        </w:tabs>
        <w:rPr>
          <w:rFonts w:ascii="Calibri" w:eastAsia="Calibri" w:hAnsi="Calibri"/>
          <w:b/>
          <w:sz w:val="24"/>
          <w:szCs w:val="24"/>
        </w:rPr>
      </w:pPr>
    </w:p>
    <w:p w14:paraId="594E9D84" w14:textId="77777777" w:rsidR="003A7D4F" w:rsidRDefault="00000000">
      <w:pPr>
        <w:keepNext/>
        <w:tabs>
          <w:tab w:val="left" w:pos="708"/>
        </w:tabs>
        <w:ind w:left="432"/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Indirizzo di studio Servizi per la sanità e l’assistenza sociale</w:t>
      </w:r>
    </w:p>
    <w:p w14:paraId="37FDB821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B8DA867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48225C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1. Competenze che si intendono sviluppare o traguardi di competenza</w:t>
      </w:r>
    </w:p>
    <w:p w14:paraId="2FF0EDA9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alle Linee Guida e ai documenti dei dipartimenti)</w:t>
      </w:r>
    </w:p>
    <w:p w14:paraId="48DA2B1C" w14:textId="77777777" w:rsidR="003A7D4F" w:rsidRDefault="00000000">
      <w:pPr>
        <w:numPr>
          <w:ilvl w:val="0"/>
          <w:numId w:val="4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Decreto legislativo 13 aprile 2017 n.61/ DM n.766 23 agosto 2018/Decreto Direttoriale n. 1400 25 settembre 2019 Allegati C settore: servizi per la sanità e l’assistenza sociale.</w:t>
      </w:r>
    </w:p>
    <w:p w14:paraId="74B4AC48" w14:textId="77777777" w:rsidR="003A7D4F" w:rsidRDefault="00000000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             Vedi anche area generale allegato A.</w:t>
      </w:r>
    </w:p>
    <w:p w14:paraId="52424190" w14:textId="77777777" w:rsidR="003A7D4F" w:rsidRDefault="003A7D4F">
      <w:p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52DA1172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2: Partecipare e cooperare nei gruppi di lavoro e nelle equipe multi professionali in diversi contesti organizzativi/lavorativi</w:t>
      </w:r>
    </w:p>
    <w:p w14:paraId="12DC1DFB" w14:textId="77777777" w:rsidR="003A7D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Collaborare alla realizzazione degli obiettivi di gruppi di lavoro e di équipe, in diversi contesti.</w:t>
      </w:r>
    </w:p>
    <w:p w14:paraId="2176D850" w14:textId="77777777" w:rsidR="003A7D4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Esporre all’interno di gruppi di lavoro e di équipe professionali informazioni e dati. </w:t>
      </w:r>
    </w:p>
    <w:p w14:paraId="67553C64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4: Prendersi cura e collaborare al soddisfacimento dei bisogni di base di bambini, persone con disabilità, anziani nell’espletamento delle più comuni attività quotidiane.</w:t>
      </w:r>
    </w:p>
    <w:p w14:paraId="4BFAC588" w14:textId="77777777" w:rsidR="003A7D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Rilevare in modo guidato, condizioni, stili di vita e bisogni legati all’età (biennio)</w:t>
      </w:r>
    </w:p>
    <w:p w14:paraId="6E78E040" w14:textId="77777777" w:rsidR="003A7D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Partecipare al soddisfacimento dei bisogni di base di persone anziane e persone in condizioni di disabilità</w:t>
      </w:r>
    </w:p>
    <w:p w14:paraId="2E3FDC08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5: Partecipare alla presa in carico socio-assistenziale di soggetti le cui condizioni determinino uno stato di non autosufficienza parziale o totale di terminalità, di compromissione delle capacità cognitive e motorie, applicando procedure e tecniche stabilite e facendo uso dei principali ausili e presidi</w:t>
      </w:r>
    </w:p>
    <w:p w14:paraId="62E8DE38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1AA1F6D8" w14:textId="77777777" w:rsidR="003A7D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lastRenderedPageBreak/>
        <w:t>Predisporre interventi per il soddisfacimento dei bisogni di base socioassistenziale e sanitari. </w:t>
      </w:r>
    </w:p>
    <w:p w14:paraId="5287708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6: Curare l’allestimento dell’ambiente di vita della persona in difficoltà con riferimento alle misure per la salvaguardia della sua sicurezza e incolumità, anche provvedendo alla promozione e al mantenimento delle capacità residue e della autonomia nel proprio ambiente di vita.</w:t>
      </w:r>
    </w:p>
    <w:p w14:paraId="30F5678D" w14:textId="77777777" w:rsidR="003A7D4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200" w:line="276" w:lineRule="auto"/>
        <w:rPr>
          <w:rFonts w:ascii="Calibri" w:eastAsia="Calibri" w:hAnsi="Calibri"/>
          <w:i/>
          <w:color w:val="000000"/>
          <w:sz w:val="24"/>
          <w:szCs w:val="24"/>
        </w:rPr>
      </w:pPr>
      <w:r>
        <w:rPr>
          <w:rFonts w:ascii="Calibri" w:eastAsia="Calibri" w:hAnsi="Calibri"/>
          <w:i/>
          <w:color w:val="000000"/>
          <w:sz w:val="24"/>
          <w:szCs w:val="24"/>
        </w:rPr>
        <w:t>Nell’allestimento dell’ambiente di vita assicurare condizioni di igiene e sicurezza.</w:t>
      </w:r>
    </w:p>
    <w:p w14:paraId="51926B02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791FFCF2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Competenza in uscita 9: Realizzare, in collaborazione con altre figure professionali, azioni a sostegno e a tutela della persona con fragilità e/o disabilità e della sua famiglia, per favorire l’integrazione e migliorare o salvaguardare la qualità della vita.</w:t>
      </w:r>
    </w:p>
    <w:p w14:paraId="5B37CC38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06A26760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 xml:space="preserve">                   a. Collaborare nella elaborazione e attuazione di progetti di integrazione sociale e di     prevenzione primaria, secondaria e terziaria rivolti a singoli o a gruppi.</w:t>
      </w:r>
    </w:p>
    <w:p w14:paraId="1F6477F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6C5BDB88" w14:textId="77777777" w:rsidR="003A7D4F" w:rsidRDefault="00000000">
      <w:pPr>
        <w:numPr>
          <w:ilvl w:val="0"/>
          <w:numId w:val="3"/>
        </w:numP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Raccomandazione del Consiglio europeo del 22 maggio 2018 relativa alle competenze chiave per l’apprendimento permanente</w:t>
      </w:r>
    </w:p>
    <w:p w14:paraId="1B01DA35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</w:p>
    <w:p w14:paraId="311CE903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t>competenza alfabetica funzionale; competenza matematica e competenza di base in scienze e tecnologie; • competenza digitale; • competenza personale, sociale e capacità di imparare ad imparare; • competenza sociale e civica in materia di cittadinanza;</w:t>
      </w:r>
    </w:p>
    <w:p w14:paraId="3D23F60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7A32206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2. Descrizione di conoscenze e abilità, suddivise in percorsi didattici, evidenziando per ognuna quelle essenziali o minime </w:t>
      </w:r>
    </w:p>
    <w:p w14:paraId="385CF6BA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sdt>
      <w:sdtPr>
        <w:tag w:val="goog_rdk_0"/>
        <w:id w:val="2088874083"/>
        <w:lock w:val="contentLocked"/>
      </w:sdtPr>
      <w:sdtContent>
        <w:tbl>
          <w:tblPr>
            <w:tblStyle w:val="a0"/>
            <w:tblW w:w="9638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12"/>
            <w:gridCol w:w="3213"/>
            <w:gridCol w:w="3213"/>
          </w:tblGrid>
          <w:tr w:rsidR="003A7D4F" w14:paraId="7251D94B" w14:textId="77777777">
            <w:trPr>
              <w:trHeight w:val="440"/>
            </w:trPr>
            <w:tc>
              <w:tcPr>
                <w:tcW w:w="9636" w:type="dxa"/>
                <w:gridSpan w:val="3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722066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b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MODULO 1</w:t>
                </w:r>
                <w:r>
                  <w:rPr>
                    <w:rFonts w:ascii="Calibri" w:eastAsia="Calibri" w:hAnsi="Calibri"/>
                    <w:b/>
                    <w:sz w:val="24"/>
                    <w:szCs w:val="24"/>
                  </w:rPr>
                  <w:t xml:space="preserve"> IL SISTEMA NERVOSO</w:t>
                </w:r>
              </w:p>
            </w:tc>
          </w:tr>
          <w:tr w:rsidR="003A7D4F" w14:paraId="4DC083E0" w14:textId="77777777"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0A1632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COMPETENZE INTERMEDIE</w:t>
                </w: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302510F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ABILITA’</w:t>
                </w: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EC7E92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CONOSCENZE</w:t>
                </w:r>
              </w:p>
            </w:tc>
          </w:tr>
          <w:tr w:rsidR="003A7D4F" w14:paraId="68C9EA57" w14:textId="77777777"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90043C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spacing w:after="200" w:line="276" w:lineRule="auto"/>
                  <w:rPr>
                    <w:rFonts w:ascii="Calibri" w:eastAsia="Calibri" w:hAnsi="Calibri"/>
                    <w:i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i/>
                    <w:sz w:val="24"/>
                    <w:szCs w:val="24"/>
                  </w:rPr>
                  <w:t>Rilevare in modo guidato, condizioni, stili di vita e bisogni legati all’età (biennio propedeutica alla competenza 5) c.4</w:t>
                </w:r>
              </w:p>
              <w:p w14:paraId="48FF6629" w14:textId="77777777" w:rsidR="003A7D4F" w:rsidRDefault="003A7D4F">
                <w:pPr>
                  <w:tabs>
                    <w:tab w:val="center" w:pos="4819"/>
                    <w:tab w:val="right" w:pos="9638"/>
                  </w:tabs>
                  <w:spacing w:after="200" w:line="276" w:lineRule="auto"/>
                  <w:rPr>
                    <w:rFonts w:ascii="Calibri" w:eastAsia="Calibri" w:hAnsi="Calibri"/>
                    <w:i/>
                    <w:sz w:val="24"/>
                    <w:szCs w:val="24"/>
                  </w:rPr>
                </w:pPr>
              </w:p>
              <w:p w14:paraId="08FF102F" w14:textId="77777777" w:rsidR="003A7D4F" w:rsidRDefault="003A7D4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</w:p>
            </w:tc>
            <w:tc>
              <w:tcPr>
                <w:tcW w:w="3212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1C9405" w14:textId="77777777" w:rsidR="003A7D4F" w:rsidRDefault="00000000">
                <w:pPr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Individuare le funzioni principali del corpo umano (approfondimento del biennio)</w:t>
                </w:r>
              </w:p>
              <w:p w14:paraId="2F675F74" w14:textId="77777777" w:rsidR="003A7D4F" w:rsidRDefault="003A7D4F">
                <w:pPr>
                  <w:rPr>
                    <w:sz w:val="24"/>
                    <w:szCs w:val="24"/>
                  </w:rPr>
                </w:pPr>
              </w:p>
              <w:p w14:paraId="2BC5C49A" w14:textId="77777777" w:rsidR="003A7D4F" w:rsidRDefault="003A7D4F">
                <w:pPr>
                  <w:rPr>
                    <w:sz w:val="24"/>
                    <w:szCs w:val="24"/>
                  </w:rPr>
                </w:pPr>
              </w:p>
            </w:tc>
            <w:tc>
              <w:tcPr>
                <w:tcW w:w="3212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D140B28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 xml:space="preserve"> Il Sistema nervoso: anatomia e cenni di fisiologia</w:t>
                </w:r>
              </w:p>
              <w:p w14:paraId="64FCD4BF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I SNC, SNP, SNA</w:t>
                </w:r>
              </w:p>
              <w:p w14:paraId="527A8DB6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rFonts w:ascii="Calibri" w:eastAsia="Calibri" w:hAnsi="Calibri"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L’encefalo e il midollo spinale</w:t>
                </w:r>
              </w:p>
              <w:p w14:paraId="429B4F4A" w14:textId="77777777" w:rsidR="003A7D4F" w:rsidRDefault="00000000">
                <w:pPr>
                  <w:tabs>
                    <w:tab w:val="center" w:pos="4819"/>
                    <w:tab w:val="right" w:pos="9638"/>
                  </w:tabs>
                  <w:rPr>
                    <w:i/>
                    <w:sz w:val="24"/>
                    <w:szCs w:val="24"/>
                  </w:rPr>
                </w:pPr>
                <w:r>
                  <w:rPr>
                    <w:rFonts w:ascii="Calibri" w:eastAsia="Calibri" w:hAnsi="Calibri"/>
                    <w:sz w:val="24"/>
                    <w:szCs w:val="24"/>
                  </w:rPr>
                  <w:t>- I recettori e gli organi di senso</w:t>
                </w:r>
              </w:p>
              <w:p w14:paraId="5B3DB15C" w14:textId="77777777" w:rsidR="003A7D4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rFonts w:ascii="Calibri" w:eastAsia="Calibri" w:hAnsi="Calibri"/>
                    <w:sz w:val="24"/>
                    <w:szCs w:val="24"/>
                  </w:rPr>
                </w:pPr>
              </w:p>
            </w:tc>
          </w:tr>
        </w:tbl>
      </w:sdtContent>
    </w:sdt>
    <w:p w14:paraId="252FF63B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C05FB1E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</w:t>
      </w:r>
    </w:p>
    <w:p w14:paraId="4C7F84E4" w14:textId="69A1762B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Saper identificare le strutture anatomiche e rudimenti del funzionamento del SN al fine di comprendere i meccanismi alla base delle patologie legate all’alterazione del SN.</w:t>
      </w:r>
    </w:p>
    <w:p w14:paraId="0891F223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22485CEA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1110CB66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CC501F3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C882C4A" w14:textId="77777777" w:rsidR="00DA26EF" w:rsidRDefault="00DA26E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W w:w="96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DA26EF" w14:paraId="7149A0B4" w14:textId="77777777" w:rsidTr="00E667C2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152FE" w14:textId="704468C6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. LA REGOLAZIONE SISTEMICA</w:t>
            </w:r>
          </w:p>
        </w:tc>
      </w:tr>
      <w:tr w:rsidR="00DA26EF" w14:paraId="48A48AB2" w14:textId="77777777" w:rsidTr="00E667C2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0FB4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3F0A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92386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CONOSCENZE</w:t>
            </w:r>
          </w:p>
        </w:tc>
      </w:tr>
      <w:tr w:rsidR="00DA26EF" w14:paraId="2DABBA3A" w14:textId="77777777" w:rsidTr="00E667C2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F49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c.4: </w:t>
            </w:r>
            <w:r>
              <w:rPr>
                <w:sz w:val="24"/>
                <w:szCs w:val="24"/>
              </w:rPr>
              <w:t>Rilevare, in modo guidato, condizioni, stili di vita e bisogni legati all’età</w:t>
            </w:r>
          </w:p>
          <w:p w14:paraId="4E109E71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E9B36AE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38DA50D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7C01B6AA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68C99AE1" w14:textId="77777777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c.5: </w:t>
            </w:r>
            <w:r>
              <w:rPr>
                <w:sz w:val="24"/>
                <w:szCs w:val="24"/>
              </w:rPr>
              <w:t>Programmare semplici azioni per soddisfare i bisogni socio-assistenziali e sanitari in ottica di prevenzione e promozione della salute</w:t>
            </w:r>
          </w:p>
        </w:tc>
        <w:tc>
          <w:tcPr>
            <w:tcW w:w="3212" w:type="dxa"/>
          </w:tcPr>
          <w:p w14:paraId="1947A526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Individuare le funzioni principali del corpo umano</w:t>
            </w:r>
          </w:p>
          <w:p w14:paraId="6C975C7F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05C46F19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5BE6C867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3FA30BB5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</w:p>
          <w:p w14:paraId="6D04F4FE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</w:p>
          <w:p w14:paraId="7237B718" w14:textId="77777777" w:rsidR="00DA26EF" w:rsidRDefault="00DA26EF" w:rsidP="00E667C2">
            <w:pPr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Distinguere i principali stati patologici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199D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 xml:space="preserve">Anatomia e fisiologia dell’apparato endocrino </w:t>
            </w:r>
          </w:p>
          <w:p w14:paraId="407B8CA7" w14:textId="5A56B6A6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ghiandole endocrine e la regolazione ormonale (focus su ipofisi, ipotalamo, gonadi, ghiandole mammarie</w:t>
            </w:r>
            <w:r w:rsidR="00282867">
              <w:rPr>
                <w:rFonts w:ascii="Calibri" w:eastAsia="Calibri" w:hAnsi="Calibri"/>
                <w:i/>
                <w:sz w:val="24"/>
                <w:szCs w:val="24"/>
              </w:rPr>
              <w:t>, pancreas</w:t>
            </w:r>
            <w:r>
              <w:rPr>
                <w:rFonts w:ascii="Calibri" w:eastAsia="Calibri" w:hAnsi="Calibri"/>
                <w:i/>
                <w:sz w:val="24"/>
                <w:szCs w:val="24"/>
              </w:rPr>
              <w:t>)</w:t>
            </w:r>
          </w:p>
          <w:p w14:paraId="5ECFBCBB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Ciclo mestruale/ormonale/ovarico</w:t>
            </w:r>
          </w:p>
          <w:p w14:paraId="62883882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La contraccezione (consultorio *esperto esterno) educazione civica obiettivo 3 agenda 2030</w:t>
            </w:r>
          </w:p>
          <w:p w14:paraId="1EECC69E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Fisiologia della gravidanza</w:t>
            </w:r>
          </w:p>
          <w:p w14:paraId="7C8C6ABE" w14:textId="77777777" w:rsidR="00DA26EF" w:rsidRDefault="00DA26EF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Allattamento (consultorio*esperto esterno) educazione civica obiettivo 3 agenda 2030</w:t>
            </w:r>
          </w:p>
          <w:p w14:paraId="0995DC59" w14:textId="1BD403E2" w:rsidR="00282867" w:rsidRDefault="00282867" w:rsidP="00E667C2">
            <w:pPr>
              <w:numPr>
                <w:ilvl w:val="0"/>
                <w:numId w:val="6"/>
              </w:num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L’omeostasi glicemica e il diabete mellito.</w:t>
            </w:r>
          </w:p>
          <w:p w14:paraId="31E808F0" w14:textId="255EEB94" w:rsidR="00DA26EF" w:rsidRDefault="00DA26EF" w:rsidP="00E667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4"/>
                <w:szCs w:val="24"/>
              </w:rPr>
            </w:pPr>
          </w:p>
        </w:tc>
      </w:tr>
    </w:tbl>
    <w:p w14:paraId="25BBF16D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784F90E" w14:textId="77777777" w:rsidR="00282867" w:rsidRDefault="00282867" w:rsidP="00282867">
      <w:pPr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comprendere il meccanismo di azione degli ormoni e saper riconoscere i principali organi coinvolti.</w:t>
      </w:r>
    </w:p>
    <w:p w14:paraId="3629A296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2CA7575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3F22B4D1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711347D" w14:textId="77777777" w:rsidR="00282867" w:rsidRDefault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A75F7D4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1AB17DF9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3A7D4F" w14:paraId="2C6607FF" w14:textId="77777777">
        <w:trPr>
          <w:trHeight w:val="44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A79F9" w14:textId="09ADD506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sz w:val="24"/>
                <w:szCs w:val="24"/>
              </w:rPr>
              <w:t>3.</w:t>
            </w:r>
            <w:r>
              <w:rPr>
                <w:sz w:val="24"/>
                <w:szCs w:val="24"/>
              </w:rPr>
              <w:t xml:space="preserve"> IGIENE: SCIENZA DELLA SALUTE</w:t>
            </w:r>
          </w:p>
        </w:tc>
      </w:tr>
      <w:tr w:rsidR="003A7D4F" w14:paraId="1865CC11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D8080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7978C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DC906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CONOSCENZE</w:t>
            </w:r>
          </w:p>
        </w:tc>
      </w:tr>
      <w:tr w:rsidR="003A7D4F" w14:paraId="17E774B4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2565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Collaborare nell’attuazione di programmi di prevenzione primaria nei propri ambienti di vita (c.9 approfondimento 3 anno)</w:t>
            </w:r>
          </w:p>
          <w:p w14:paraId="35C6D086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73A6FC2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07DE3F78" w14:textId="77777777" w:rsidR="003A7D4F" w:rsidRDefault="00000000">
            <w:pPr>
              <w:widowControl w:val="0"/>
              <w:rPr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Nell’allestimento dell’ambiente di vita assicurare condizioni di igiene e sicurezza. c.6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597D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Identificare le caratteristiche multifattoriali e multidimensionali della condizione di benessere psico-fisico-sociale</w:t>
            </w:r>
          </w:p>
          <w:p w14:paraId="470EE441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15760A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242570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Adottare procedure di sicurezza e prevenzione del rischio negli ambienti di vita e domestici.  </w:t>
            </w:r>
          </w:p>
          <w:p w14:paraId="75BCFEB2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3D7AA" w14:textId="77777777" w:rsidR="003A7D4F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salute come benessere bio-psico-sociale e le sue caratteristiche multidimensionali</w:t>
            </w:r>
          </w:p>
          <w:p w14:paraId="52F58F44" w14:textId="77777777" w:rsidR="003A7D4F" w:rsidRDefault="003A7D4F">
            <w:pPr>
              <w:widowControl w:val="0"/>
              <w:rPr>
                <w:sz w:val="24"/>
                <w:szCs w:val="24"/>
              </w:rPr>
            </w:pPr>
          </w:p>
          <w:p w14:paraId="3185FCF2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Concetti di igiene, salute e malattia.</w:t>
            </w:r>
          </w:p>
          <w:p w14:paraId="7C45903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13B9EEE3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Concetti di rischio e pericolo.</w:t>
            </w:r>
          </w:p>
          <w:p w14:paraId="5F0E45C4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41975F19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Cause di malattia</w:t>
            </w:r>
          </w:p>
          <w:p w14:paraId="6728155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07C709CA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Classificazione delle malattie (cenni)</w:t>
            </w:r>
          </w:p>
          <w:p w14:paraId="79CF4ECA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210E955E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manifestazioni patologiche</w:t>
            </w:r>
          </w:p>
          <w:p w14:paraId="478505E6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</w:p>
          <w:p w14:paraId="55401EB9" w14:textId="77777777" w:rsidR="003A7D4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Prevenzione primaria, secondaria e terziaria</w:t>
            </w:r>
          </w:p>
        </w:tc>
      </w:tr>
      <w:tr w:rsidR="003A7D4F" w14:paraId="41D1D784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A8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Collaborare nella elaborazione e attuazione di progetti di integrazione sociale e di prevenzione primaria, secondaria e terziaria rivolti a singoli o a gruppi. (c.9)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075A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Riconoscere i principali quadri clinici delle malattie cronico degenerative e infettive.</w:t>
            </w:r>
          </w:p>
          <w:p w14:paraId="39DDCD13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  <w:p w14:paraId="0D112A1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Individuare misure di profilassi da utilizzare nella prevenzione delle diverse malattie. </w:t>
            </w:r>
          </w:p>
          <w:p w14:paraId="6688AC8A" w14:textId="77777777" w:rsidR="003A7D4F" w:rsidRDefault="003A7D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4"/>
                <w:szCs w:val="24"/>
              </w:rPr>
            </w:pP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117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Le grandi malattie di</w:t>
            </w:r>
          </w:p>
          <w:p w14:paraId="2EBAA1DA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risonanza sociale,</w:t>
            </w:r>
          </w:p>
          <w:p w14:paraId="48DFF4B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epidemiologia e</w:t>
            </w:r>
          </w:p>
          <w:p w14:paraId="52BB3BF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profilassi delle malattie</w:t>
            </w:r>
          </w:p>
          <w:p w14:paraId="73F82A6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infettive. (cenni)</w:t>
            </w:r>
          </w:p>
          <w:p w14:paraId="127F89B0" w14:textId="4BA9E016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A45ADB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4E26C369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4023833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i/>
          <w:sz w:val="24"/>
          <w:szCs w:val="24"/>
        </w:rPr>
        <w:t>Obiettivi minimi:</w:t>
      </w:r>
      <w:r>
        <w:rPr>
          <w:sz w:val="24"/>
          <w:szCs w:val="24"/>
        </w:rPr>
        <w:t xml:space="preserve"> Distinguere il concetto di salute e malattia e saper applicare azioni di prevenzione primaria.</w:t>
      </w:r>
    </w:p>
    <w:p w14:paraId="2D6E8ACF" w14:textId="77777777" w:rsidR="003A7D4F" w:rsidRDefault="003A7D4F">
      <w:pP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Style w:val="a2"/>
        <w:tblpPr w:leftFromText="180" w:rightFromText="180" w:topFromText="180" w:bottomFromText="180" w:vertAnchor="text"/>
        <w:tblW w:w="958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95"/>
        <w:gridCol w:w="3195"/>
        <w:gridCol w:w="3195"/>
      </w:tblGrid>
      <w:tr w:rsidR="003A7D4F" w14:paraId="3B4048BF" w14:textId="77777777">
        <w:trPr>
          <w:trHeight w:val="440"/>
        </w:trPr>
        <w:tc>
          <w:tcPr>
            <w:tcW w:w="9585" w:type="dxa"/>
            <w:gridSpan w:val="3"/>
          </w:tcPr>
          <w:p w14:paraId="04D00444" w14:textId="2B94A6A0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lastRenderedPageBreak/>
              <w:t xml:space="preserve">MODULO </w:t>
            </w:r>
            <w:r w:rsidR="00282867">
              <w:rPr>
                <w:rFonts w:ascii="Calibri" w:eastAsia="Calibri" w:hAnsi="Calibri"/>
                <w:sz w:val="24"/>
                <w:szCs w:val="24"/>
              </w:rPr>
              <w:t>4.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/>
                <w:b/>
                <w:sz w:val="24"/>
                <w:szCs w:val="24"/>
              </w:rPr>
              <w:t>LA DISABILITA’</w:t>
            </w:r>
            <w:r>
              <w:rPr>
                <w:rFonts w:ascii="Calibri" w:eastAsia="Calibri" w:hAnsi="Calibri"/>
                <w:sz w:val="24"/>
                <w:szCs w:val="24"/>
              </w:rPr>
              <w:t xml:space="preserve"> (da svolgere prima del PCTO)</w:t>
            </w:r>
          </w:p>
        </w:tc>
      </w:tr>
      <w:tr w:rsidR="003A7D4F" w14:paraId="7AA9803C" w14:textId="77777777">
        <w:tc>
          <w:tcPr>
            <w:tcW w:w="3195" w:type="dxa"/>
          </w:tcPr>
          <w:p w14:paraId="2C338907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COMPETENZE INTERMEDIE</w:t>
            </w:r>
          </w:p>
        </w:tc>
        <w:tc>
          <w:tcPr>
            <w:tcW w:w="3195" w:type="dxa"/>
          </w:tcPr>
          <w:p w14:paraId="501C8984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ABILITA’</w:t>
            </w:r>
          </w:p>
        </w:tc>
        <w:tc>
          <w:tcPr>
            <w:tcW w:w="3195" w:type="dxa"/>
          </w:tcPr>
          <w:p w14:paraId="71D45ABA" w14:textId="77777777" w:rsidR="003A7D4F" w:rsidRDefault="00000000">
            <w:pPr>
              <w:widowControl w:val="0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CONOSCENZE</w:t>
            </w:r>
          </w:p>
        </w:tc>
      </w:tr>
      <w:tr w:rsidR="003A7D4F" w14:paraId="7EFC9F88" w14:textId="77777777">
        <w:tc>
          <w:tcPr>
            <w:tcW w:w="3195" w:type="dxa"/>
          </w:tcPr>
          <w:p w14:paraId="53A988F0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Rilevare in modo guidato, condizioni, stili di vita e bisogni legati all’età (biennio)c.4</w:t>
            </w:r>
          </w:p>
          <w:p w14:paraId="29F744DE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Partecipare al soddisfacimento dei bisogni di base di persone anziane e persone in condizioni di disabilità c.4</w:t>
            </w:r>
          </w:p>
          <w:p w14:paraId="0E19BEC9" w14:textId="77777777" w:rsidR="003A7D4F" w:rsidRDefault="003A7D4F">
            <w:pPr>
              <w:widowControl w:val="0"/>
              <w:rPr>
                <w:rFonts w:ascii="Calibri" w:eastAsia="Calibri" w:hAnsi="Calibri"/>
                <w:i/>
                <w:sz w:val="24"/>
                <w:szCs w:val="24"/>
              </w:rPr>
            </w:pPr>
          </w:p>
        </w:tc>
        <w:tc>
          <w:tcPr>
            <w:tcW w:w="3195" w:type="dxa"/>
          </w:tcPr>
          <w:p w14:paraId="0CB8D919" w14:textId="77777777" w:rsidR="003A7D4F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Riconoscere i concetti di disabilità, deficit ed handicap</w:t>
            </w:r>
          </w:p>
          <w:p w14:paraId="2A6D50C7" w14:textId="77777777" w:rsidR="003A7D4F" w:rsidRDefault="003A7D4F">
            <w:pPr>
              <w:rPr>
                <w:sz w:val="24"/>
                <w:szCs w:val="24"/>
              </w:rPr>
            </w:pPr>
          </w:p>
          <w:p w14:paraId="3EC09AB7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DFC2FB3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EBEE255" w14:textId="77777777" w:rsidR="003A7D4F" w:rsidRDefault="003A7D4F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0BFDBDE9" w14:textId="77777777" w:rsidR="003A7D4F" w:rsidRDefault="00000000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Rilevare elementi dello stato di salute psico-fisica e del grado di autonomia dell’utente.</w:t>
            </w:r>
          </w:p>
        </w:tc>
        <w:tc>
          <w:tcPr>
            <w:tcW w:w="3195" w:type="dxa"/>
          </w:tcPr>
          <w:p w14:paraId="206B3DC2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Definizione di diversa abilità e riferimenti ICF e normativi</w:t>
            </w:r>
          </w:p>
          <w:p w14:paraId="4D2CF219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cause della diversa abilità</w:t>
            </w:r>
          </w:p>
          <w:p w14:paraId="505092E1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Prevenzione e diagnosi precoce</w:t>
            </w:r>
          </w:p>
          <w:p w14:paraId="3E1FADDC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La classificazione delle diverse abilità</w:t>
            </w:r>
          </w:p>
          <w:p w14:paraId="605DAEE1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genetica: le malattie monogeniche, genomiche e cromosomiche. (Alcuni esempi)</w:t>
            </w:r>
          </w:p>
          <w:p w14:paraId="050AE567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motoria</w:t>
            </w:r>
          </w:p>
          <w:p w14:paraId="0E0F56F8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cognitiva e DSM5</w:t>
            </w:r>
          </w:p>
          <w:p w14:paraId="7D88248F" w14:textId="7777777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i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Esempi di disabilità sensoriale</w:t>
            </w:r>
          </w:p>
          <w:p w14:paraId="6AEF7231" w14:textId="6CD1EF57" w:rsidR="003A7D4F" w:rsidRDefault="00000000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i/>
                <w:sz w:val="24"/>
                <w:szCs w:val="24"/>
              </w:rPr>
              <w:t>Le misure per la disabilità: strumenti legislativi e UVM; assistenza e riabilitazione.</w:t>
            </w:r>
          </w:p>
        </w:tc>
      </w:tr>
    </w:tbl>
    <w:p w14:paraId="3C812D9A" w14:textId="77777777" w:rsidR="003A7D4F" w:rsidRDefault="00000000">
      <w:pPr>
        <w:tabs>
          <w:tab w:val="center" w:pos="4819"/>
          <w:tab w:val="right" w:pos="9638"/>
        </w:tabs>
        <w:rPr>
          <w:sz w:val="24"/>
          <w:szCs w:val="24"/>
        </w:rPr>
      </w:pPr>
      <w:r>
        <w:rPr>
          <w:i/>
          <w:sz w:val="24"/>
          <w:szCs w:val="24"/>
        </w:rPr>
        <w:t xml:space="preserve">Obiettivi minimi: </w:t>
      </w:r>
      <w:r>
        <w:rPr>
          <w:sz w:val="24"/>
          <w:szCs w:val="24"/>
        </w:rPr>
        <w:t>Saper definire disabilità, riconoscere le principali cause, tipologie e prevenzione primaria; saper individuare i principali servizi per la disabilità sul territorio.</w:t>
      </w:r>
    </w:p>
    <w:p w14:paraId="42BF36E6" w14:textId="77777777" w:rsidR="003A7D4F" w:rsidRDefault="003A7D4F">
      <w:pPr>
        <w:tabs>
          <w:tab w:val="center" w:pos="4819"/>
          <w:tab w:val="right" w:pos="9638"/>
        </w:tabs>
        <w:rPr>
          <w:i/>
          <w:sz w:val="24"/>
          <w:szCs w:val="24"/>
        </w:rPr>
      </w:pPr>
    </w:p>
    <w:p w14:paraId="3CA9FA1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FECD4DE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tbl>
      <w:tblPr>
        <w:tblStyle w:val="a3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2"/>
        <w:gridCol w:w="3213"/>
        <w:gridCol w:w="3213"/>
      </w:tblGrid>
      <w:tr w:rsidR="003A7D4F" w14:paraId="2C659D92" w14:textId="77777777">
        <w:trPr>
          <w:trHeight w:val="420"/>
        </w:trPr>
        <w:tc>
          <w:tcPr>
            <w:tcW w:w="9636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F3A8B" w14:textId="3AE46C19" w:rsidR="003A7D4F" w:rsidRDefault="00000000">
            <w:pPr>
              <w:widowControl w:val="0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MODULO </w:t>
            </w:r>
            <w:r w:rsidR="00282867">
              <w:rPr>
                <w:rFonts w:ascii="Arial" w:eastAsia="Arial" w:hAnsi="Arial" w:cs="Arial"/>
                <w:sz w:val="22"/>
                <w:szCs w:val="22"/>
              </w:rPr>
              <w:t>5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INTRODUZIONE ALLE NORME DI IGIENE E SANITA’ PUBBLICA</w:t>
            </w:r>
          </w:p>
        </w:tc>
      </w:tr>
      <w:tr w:rsidR="003A7D4F" w14:paraId="120293B3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AB0EC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COMPETENZE INTERMEDIE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2212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ABILITA’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CF3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CONOSCENZE</w:t>
            </w:r>
          </w:p>
        </w:tc>
      </w:tr>
      <w:tr w:rsidR="003A7D4F" w14:paraId="717F0E06" w14:textId="77777777"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E809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Nell’allestimento dell’ambiente di vita assicurare condizioni di igiene e sicurezza. (c.6)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A68F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Adottare procedure di sicurezza e prevenzione del rischio negli ambienti di vita e domestici.  </w:t>
            </w:r>
          </w:p>
          <w:p w14:paraId="493A1224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3D6C85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Individuare procedure di sanificazione e sanitizzazione. </w:t>
            </w:r>
          </w:p>
          <w:p w14:paraId="71CFB213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7EF7D43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Applicare i protocolli previsti per la raccolta e smaltimento dei rifiuti. </w:t>
            </w:r>
          </w:p>
          <w:p w14:paraId="49A53EA4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63610878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Identificare le procedure di igienizzazione e pulizia del vestiario, della biancheria, degli ambienti e della casa.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EDD3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L’epidemiologia</w:t>
            </w:r>
          </w:p>
          <w:p w14:paraId="2FC8E62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49329DA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Profilassi diretta ed indiretta</w:t>
            </w:r>
          </w:p>
          <w:p w14:paraId="35D77CBE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6D953C6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Il contagio: le fonti di infezione</w:t>
            </w:r>
          </w:p>
          <w:p w14:paraId="7A6FA91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B6F994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Misure di profilassi sulle fonti di infezione</w:t>
            </w:r>
          </w:p>
          <w:p w14:paraId="0E915FFC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A1C096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Vie di trasmissione delle malattie infettive.</w:t>
            </w:r>
          </w:p>
          <w:p w14:paraId="20A0CF5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543F153F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Misure di profilassi sulle vie di trasmissione.</w:t>
            </w:r>
          </w:p>
          <w:p w14:paraId="131EE728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396B822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 disinfezione</w:t>
            </w:r>
          </w:p>
          <w:p w14:paraId="6822B895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171009DE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La disinfestazione</w:t>
            </w:r>
          </w:p>
          <w:p w14:paraId="5D57460A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7826D6E7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Fattori predisponenti alle malattie infettive</w:t>
            </w:r>
          </w:p>
          <w:p w14:paraId="050F63FE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A7BB55B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Immunoprofilassi: vaccinoprofilassi e sieroprofilassi.</w:t>
            </w:r>
          </w:p>
          <w:p w14:paraId="36E932BC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2B4C257F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Caratteristiche dei detergenti, dei disinfettanti e degli antisettici e modalità del loro utilizzo. </w:t>
            </w:r>
          </w:p>
          <w:p w14:paraId="234752C1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(Corso di sicurezza sul lavoro per professioni sanitarie * 3 anno + corso OSS)</w:t>
            </w:r>
          </w:p>
          <w:p w14:paraId="023E72E2" w14:textId="77777777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  <w:p w14:paraId="30CA077E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Igiene e pulizia del vestiario, della biancheria, degli ambienti e della casa.</w:t>
            </w:r>
          </w:p>
          <w:p w14:paraId="518E39E0" w14:textId="77777777" w:rsidR="003A7D4F" w:rsidRDefault="00000000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(Corso di sicurezza sul lavoro per professioni sanitarie * 3 anno + corso OSS)</w:t>
            </w:r>
          </w:p>
          <w:p w14:paraId="584F33B2" w14:textId="00C91754" w:rsidR="003A7D4F" w:rsidRDefault="003A7D4F">
            <w:pPr>
              <w:widowControl w:val="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3249FEA2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5BBA4978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Obiettivi minimi: Conoscere le principali cause e vie di trasmissione delle malattie infettive; saper utilizzare gli strumenti di sanificazione nel modo corretto. Conoscere la differenza tra vaccinoprofilassi e sieroprofilassi.</w:t>
      </w:r>
    </w:p>
    <w:p w14:paraId="14A1586A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0CC9897E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3. Attività o percorsi didattici concordati nel CdC a livello interdisciplinare - Educazione civica</w:t>
      </w:r>
    </w:p>
    <w:p w14:paraId="2AAC55F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ed. civica: Diritti e doveri dei cittadini per la tutela della salute pubblica.</w:t>
      </w:r>
    </w:p>
    <w:p w14:paraId="306B424B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- Screening e prevenzione delle principali malattie infettive in età adolescenziale.</w:t>
      </w:r>
    </w:p>
    <w:p w14:paraId="1DDB155C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78CF234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4. Tipologie di verifica, elaborati ed esercitazioni </w:t>
      </w:r>
    </w:p>
    <w:p w14:paraId="3D89C8E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[Indicare un eventuale orientamento personale diverso da quello inserito nel PTOF e specificare quali hanno carattere formativo e quale sommativo]</w:t>
      </w:r>
    </w:p>
    <w:p w14:paraId="69ED9CBC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Verifica a risposta chiusa (valida anche per il corso OSS), risoluzione di un caso, verifica orale</w:t>
      </w:r>
    </w:p>
    <w:p w14:paraId="0FFCA7D3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ABEFC9A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>5. Criteri per le valutazioni</w:t>
      </w:r>
      <w:r>
        <w:rPr>
          <w:rFonts w:ascii="Calibri" w:eastAsia="Calibri" w:hAnsi="Calibri"/>
          <w:sz w:val="24"/>
          <w:szCs w:val="24"/>
        </w:rPr>
        <w:t xml:space="preserve"> </w:t>
      </w:r>
    </w:p>
    <w:p w14:paraId="3BED8D91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(fare riferimento a tutti i criteri di valutazione deliberati nel Ptof aggiornamento triennale 22/25; indicare solo le variazioni rispetto a quanto inserito nel PTOF))</w:t>
      </w:r>
    </w:p>
    <w:p w14:paraId="235CC38D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I criteri di valutazione seguono quelli del PTOF e del dipartimento.</w:t>
      </w:r>
    </w:p>
    <w:p w14:paraId="3C535A0F" w14:textId="77777777" w:rsidR="003A7D4F" w:rsidRDefault="003A7D4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sz w:val="24"/>
          <w:szCs w:val="24"/>
        </w:rPr>
      </w:pPr>
    </w:p>
    <w:p w14:paraId="64B2B435" w14:textId="77777777" w:rsidR="003A7D4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b/>
          <w:sz w:val="24"/>
          <w:szCs w:val="24"/>
        </w:rPr>
      </w:pPr>
      <w:r>
        <w:rPr>
          <w:rFonts w:ascii="Calibri" w:eastAsia="Calibri" w:hAnsi="Calibri"/>
          <w:b/>
          <w:sz w:val="24"/>
          <w:szCs w:val="24"/>
        </w:rPr>
        <w:t xml:space="preserve">6. Metodi e strategie didattiche </w:t>
      </w:r>
    </w:p>
    <w:p w14:paraId="70F8943B" w14:textId="5D264C3F" w:rsidR="003A7D4F" w:rsidRPr="00282867" w:rsidRDefault="00000000" w:rsidP="0028286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rPr>
          <w:rFonts w:ascii="Calibri" w:eastAsia="Calibri" w:hAnsi="Calibri"/>
          <w:i/>
          <w:sz w:val="24"/>
          <w:szCs w:val="24"/>
        </w:rPr>
      </w:pPr>
      <w:r>
        <w:rPr>
          <w:rFonts w:ascii="Calibri" w:eastAsia="Calibri" w:hAnsi="Calibri"/>
          <w:i/>
          <w:sz w:val="24"/>
          <w:szCs w:val="24"/>
        </w:rPr>
        <w:t>(in particolare indicare quelle finalizzate a mantenere l’interesse, a sviluppare la motivazione all’apprendimento, al recupero di conoscenze e abilità, al raggiungimento di obiettivi di competenz</w:t>
      </w:r>
      <w:r w:rsidR="00282867">
        <w:rPr>
          <w:rFonts w:ascii="Calibri" w:eastAsia="Calibri" w:hAnsi="Calibri"/>
          <w:i/>
          <w:sz w:val="24"/>
          <w:szCs w:val="24"/>
        </w:rPr>
        <w:t>e</w:t>
      </w:r>
    </w:p>
    <w:p w14:paraId="0B5B8576" w14:textId="77777777" w:rsidR="003A7D4F" w:rsidRDefault="003A7D4F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</w:p>
    <w:p w14:paraId="511BB43E" w14:textId="51CF19C1" w:rsidR="003A7D4F" w:rsidRDefault="00000000">
      <w:pPr>
        <w:tabs>
          <w:tab w:val="center" w:pos="7088"/>
        </w:tabs>
        <w:spacing w:before="100" w:after="100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Pisa li</w:t>
      </w:r>
      <w:r w:rsidR="00F906BF">
        <w:rPr>
          <w:rFonts w:ascii="Calibri" w:eastAsia="Calibri" w:hAnsi="Calibri"/>
          <w:sz w:val="24"/>
          <w:szCs w:val="24"/>
        </w:rPr>
        <w:t xml:space="preserve"> 11/11/2024</w:t>
      </w:r>
      <w:r>
        <w:rPr>
          <w:rFonts w:ascii="Calibri" w:eastAsia="Calibri" w:hAnsi="Calibri"/>
          <w:sz w:val="24"/>
          <w:szCs w:val="24"/>
        </w:rPr>
        <w:tab/>
        <w:t xml:space="preserve">                                   Il/la docente</w:t>
      </w:r>
      <w:r w:rsidR="00F906BF">
        <w:rPr>
          <w:rFonts w:ascii="Calibri" w:eastAsia="Calibri" w:hAnsi="Calibri"/>
          <w:sz w:val="24"/>
          <w:szCs w:val="24"/>
        </w:rPr>
        <w:t xml:space="preserve"> Agnese Muscarello</w:t>
      </w:r>
    </w:p>
    <w:sectPr w:rsidR="003A7D4F">
      <w:pgSz w:w="11906" w:h="16838"/>
      <w:pgMar w:top="426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497F1FD-6E46-4F47-BB8E-7C462F2411B6}"/>
    <w:embedBold r:id="rId2" w:fontKey="{ACE1C5A4-8477-42DD-8BC5-578031F95069}"/>
    <w:embedItalic r:id="rId3" w:fontKey="{96FA4C69-C324-4F0E-89EB-2843EAE231E5}"/>
    <w:embedBoldItalic r:id="rId4" w:fontKey="{FDC38996-45AD-4E4F-A4DE-E1EE9E33EE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C13AB4F-E8B2-4CEB-9D25-8E5349258A2F}"/>
    <w:embedBold r:id="rId6" w:fontKey="{F40CC2FD-F285-4AB4-92D8-1ED0A2913698}"/>
    <w:embedBoldItalic r:id="rId7" w:fontKey="{E5CA297C-9333-4BC7-8373-E25B3A522B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4F36836-BC3B-48D1-BCDB-A935EA3740E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F4556D8-325F-4AC3-B5F6-D4A1CA7FD578}"/>
    <w:embedItalic r:id="rId10" w:fontKey="{AAE0C83B-7586-4F14-B914-580D194706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FDD4048-78CB-4D06-A04C-07F01391F9DE}"/>
    <w:embedItalic r:id="rId12" w:fontKey="{2F54E0EC-70AB-4C68-8E1D-B6D778A6FB28}"/>
  </w:font>
  <w:font w:name="FreeSerif">
    <w:altName w:val="Calibri"/>
    <w:charset w:val="00"/>
    <w:family w:val="auto"/>
    <w:pitch w:val="default"/>
  </w:font>
  <w:font w:name="Liberation Sans Narrow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8190F"/>
    <w:multiLevelType w:val="multilevel"/>
    <w:tmpl w:val="27B24F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0602A"/>
    <w:multiLevelType w:val="multilevel"/>
    <w:tmpl w:val="03C273D0"/>
    <w:lvl w:ilvl="0">
      <w:start w:val="1"/>
      <w:numFmt w:val="lowerLetter"/>
      <w:pStyle w:val="Titolo1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pStyle w:val="Tito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47440F"/>
    <w:multiLevelType w:val="multilevel"/>
    <w:tmpl w:val="67AC98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AC76C2"/>
    <w:multiLevelType w:val="multilevel"/>
    <w:tmpl w:val="6CB25FF8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65E4C12"/>
    <w:multiLevelType w:val="multilevel"/>
    <w:tmpl w:val="33C68FC8"/>
    <w:lvl w:ilvl="0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A48ED"/>
    <w:multiLevelType w:val="multilevel"/>
    <w:tmpl w:val="C0B8F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9239413">
    <w:abstractNumId w:val="1"/>
  </w:num>
  <w:num w:numId="2" w16cid:durableId="1988319492">
    <w:abstractNumId w:val="0"/>
  </w:num>
  <w:num w:numId="3" w16cid:durableId="1852331781">
    <w:abstractNumId w:val="2"/>
  </w:num>
  <w:num w:numId="4" w16cid:durableId="736830132">
    <w:abstractNumId w:val="5"/>
  </w:num>
  <w:num w:numId="5" w16cid:durableId="1346325607">
    <w:abstractNumId w:val="4"/>
  </w:num>
  <w:num w:numId="6" w16cid:durableId="1876961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D4F"/>
    <w:rsid w:val="00282867"/>
    <w:rsid w:val="003A7D4F"/>
    <w:rsid w:val="003C5A34"/>
    <w:rsid w:val="00697C29"/>
    <w:rsid w:val="00DA26EF"/>
    <w:rsid w:val="00F9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D263E"/>
  <w15:docId w15:val="{DB84232C-A03E-429B-B670-54499425B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cs="Calibri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1"/>
      </w:numPr>
      <w:spacing w:before="100" w:after="100"/>
      <w:jc w:val="center"/>
      <w:outlineLvl w:val="0"/>
    </w:pPr>
    <w:rPr>
      <w:rFonts w:ascii="Tahoma" w:hAnsi="Tahoma" w:cs="Tahoma"/>
      <w:b/>
      <w:i/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numPr>
        <w:ilvl w:val="3"/>
        <w:numId w:val="1"/>
      </w:numPr>
      <w:spacing w:before="100" w:after="100"/>
      <w:outlineLvl w:val="3"/>
    </w:pPr>
    <w:rPr>
      <w:rFonts w:ascii="Tahoma" w:hAnsi="Tahoma" w:cs="Tahoma"/>
      <w:b/>
      <w:sz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u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rPr>
      <w:rFonts w:ascii="Times New Roman" w:hAnsi="Times New Roman" w:cs="Times New Roman"/>
      <w:b w:val="0"/>
      <w:i w:val="0"/>
      <w:sz w:val="22"/>
    </w:rPr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Calibri" w:hAnsi="Calibri" w:cs="Arial"/>
      <w:b/>
      <w:sz w:val="20"/>
      <w:szCs w:val="18"/>
    </w:rPr>
  </w:style>
  <w:style w:type="character" w:customStyle="1" w:styleId="WW8Num3z1">
    <w:name w:val="WW8Num3z1"/>
  </w:style>
  <w:style w:type="character" w:customStyle="1" w:styleId="WW8Num4z0">
    <w:name w:val="WW8Num4z0"/>
    <w:rPr>
      <w:rFonts w:ascii="Calibri" w:eastAsia="Calibri" w:hAnsi="Calibri" w:cs="Times New Roman"/>
      <w:sz w:val="24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Carpredefinitoparagrafo1">
    <w:name w:val="Car. predefinito paragrafo1"/>
  </w:style>
  <w:style w:type="character" w:customStyle="1" w:styleId="Titolo1Carattere">
    <w:name w:val="Titolo 1 Carattere"/>
    <w:basedOn w:val="Carpredefinitoparagrafo1"/>
    <w:rPr>
      <w:rFonts w:ascii="Tahoma" w:eastAsia="Times New Roman" w:hAnsi="Tahoma" w:cs="Tahoma"/>
      <w:b/>
      <w:i/>
      <w:color w:val="000000"/>
    </w:rPr>
  </w:style>
  <w:style w:type="character" w:customStyle="1" w:styleId="Titolo4Carattere">
    <w:name w:val="Titolo 4 Carattere"/>
    <w:basedOn w:val="Carpredefinitoparagrafo1"/>
    <w:rPr>
      <w:rFonts w:ascii="Tahoma" w:eastAsia="Times New Roman" w:hAnsi="Tahoma" w:cs="Tahoma"/>
      <w:b/>
      <w:color w:val="000000"/>
      <w:sz w:val="20"/>
    </w:rPr>
  </w:style>
  <w:style w:type="character" w:customStyle="1" w:styleId="Caratteredellanota">
    <w:name w:val="Carattere della nota"/>
    <w:basedOn w:val="Carpredefinitoparagrafo1"/>
    <w:rPr>
      <w:vertAlign w:val="superscript"/>
    </w:rPr>
  </w:style>
  <w:style w:type="character" w:customStyle="1" w:styleId="Rimandonotaapidipagina1">
    <w:name w:val="Rimando nota a piè di pagina1"/>
    <w:rPr>
      <w:vertAlign w:val="superscript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CorpodeltestoCarattere">
    <w:name w:val="Corpo del testo Carattere"/>
    <w:basedOn w:val="Carpredefinitoparagrafo1"/>
    <w:rPr>
      <w:rFonts w:ascii="Times New Roman" w:eastAsia="Times New Roman" w:hAnsi="Times New Roman" w:cs="Calibri"/>
      <w:color w:val="000000"/>
      <w:sz w:val="26"/>
    </w:rPr>
  </w:style>
  <w:style w:type="character" w:customStyle="1" w:styleId="TestonotaapidipaginaCarattere">
    <w:name w:val="Testo nota a piè di pagina Carattere"/>
    <w:basedOn w:val="Carpredefinitoparagrafo1"/>
    <w:rPr>
      <w:rFonts w:ascii="Times New Roman" w:eastAsia="Times New Roman" w:hAnsi="Times New Roman" w:cs="Calibri"/>
      <w:color w:val="000000"/>
      <w:sz w:val="20"/>
    </w:rPr>
  </w:style>
  <w:style w:type="character" w:customStyle="1" w:styleId="PidipaginaCarattere">
    <w:name w:val="Piè di pagina Carattere"/>
    <w:basedOn w:val="Carpredefinitoparagrafo1"/>
    <w:rPr>
      <w:rFonts w:ascii="Cambria" w:eastAsia="Cambria" w:hAnsi="Cambria" w:cs="Cambria"/>
      <w:color w:val="000000"/>
      <w:szCs w:val="24"/>
    </w:rPr>
  </w:style>
  <w:style w:type="character" w:customStyle="1" w:styleId="TestofumettoCarattere">
    <w:name w:val="Testo fumetto Carattere"/>
    <w:basedOn w:val="Carpredefinitoparagrafo1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Intestazione2">
    <w:name w:val="Intestazione2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Testonotaapidipagina">
    <w:name w:val="footnote text"/>
    <w:basedOn w:val="Normale"/>
    <w:rPr>
      <w:sz w:val="20"/>
    </w:rPr>
  </w:style>
  <w:style w:type="paragraph" w:customStyle="1" w:styleId="Intestazione1">
    <w:name w:val="Intestazione1"/>
    <w:basedOn w:val="Normale"/>
    <w:next w:val="Corpotesto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  <w:suppressAutoHyphens w:val="0"/>
    </w:pPr>
    <w:rPr>
      <w:rFonts w:ascii="Cambria" w:eastAsia="Cambria" w:hAnsi="Cambria" w:cs="Cambria"/>
      <w:sz w:val="24"/>
      <w:szCs w:val="24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qFormat/>
    <w:pPr>
      <w:suppressAutoHyphens w:val="0"/>
      <w:spacing w:after="200" w:line="276" w:lineRule="auto"/>
      <w:ind w:left="720"/>
    </w:pPr>
    <w:rPr>
      <w:rFonts w:ascii="Calibri" w:eastAsia="Calibri" w:hAnsi="Calibri" w:cs="Times New Roman"/>
      <w:sz w:val="22"/>
      <w:szCs w:val="22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1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5">
    <w:name w:val="5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ormaleWeb">
    <w:name w:val="Normal (Web)"/>
    <w:basedOn w:val="Normale"/>
    <w:uiPriority w:val="99"/>
    <w:unhideWhenUsed/>
    <w:rsid w:val="00061BC8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eastAsia="it-IT"/>
    </w:rPr>
  </w:style>
  <w:style w:type="table" w:customStyle="1" w:styleId="a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gptREndiKudQi7u1ZWPm9pA35w==">CgMxLjAaHwoBMBIaChgICVIUChJ0YWJsZS40YmljbjkxcnNrbHAaHwoBMRIaChgICVIUChJ0YWJsZS5sdmxoMXhidWt4bjkaHwoBMhIaChgICVIUChJ0YWJsZS5uYzRtcG5qYXd0enUaHwoBMxIaChgICVIUChJ0YWJsZS42aGNyaWFxN2lnbGkyCGguZ2pkZ3hzMg5oLjRtdXo1NHd6N25pNzIOaC4xaTRndnZta3k2bGYyDmguanJzZjB2MTd5OXVwMg5oLmw0bG44dGs1ZjVtaTIOaC5rejUzcjhkY2ptYmI4AHIhMTlZTkdQcEtaemV1cTUzLXl4YnBhcUxQODVWT1dKUz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1551</Words>
  <Characters>8847</Characters>
  <Application>Microsoft Office Word</Application>
  <DocSecurity>0</DocSecurity>
  <Lines>73</Lines>
  <Paragraphs>20</Paragraphs>
  <ScaleCrop>false</ScaleCrop>
  <Company/>
  <LinksUpToDate>false</LinksUpToDate>
  <CharactersWithSpaces>10378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fiber</dc:creator>
  <cp:lastModifiedBy>Agnese Muscarello</cp:lastModifiedBy>
  <cp:revision>4</cp:revision>
  <dcterms:created xsi:type="dcterms:W3CDTF">2024-06-08T07:25:00Z</dcterms:created>
  <dcterms:modified xsi:type="dcterms:W3CDTF">2024-11-11T10:43:00Z</dcterms:modified>
</cp:coreProperties>
</file>